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92DC2" w14:textId="77777777" w:rsidR="005028E5" w:rsidRPr="005028E5" w:rsidRDefault="00207CE6" w:rsidP="004A3438">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EE1BA7">
        <w:rPr>
          <w:rFonts w:ascii="Arial" w:eastAsia="Times New Roman" w:hAnsi="Arial" w:cs="Arial"/>
          <w:bCs/>
          <w:spacing w:val="-3"/>
          <w:sz w:val="22"/>
          <w:szCs w:val="22"/>
        </w:rPr>
        <w:t>In July 2017, the Queensland Government released the Queensland Bulk Water Opportunities Statement (QBWOS) as a state strategic infrastructure document</w:t>
      </w:r>
      <w:r w:rsidRPr="005028E5">
        <w:rPr>
          <w:rFonts w:ascii="Arial" w:eastAsia="Times New Roman" w:hAnsi="Arial" w:cs="Arial"/>
          <w:bCs/>
          <w:spacing w:val="-3"/>
          <w:sz w:val="22"/>
          <w:szCs w:val="22"/>
        </w:rPr>
        <w:t xml:space="preserve"> for bulk water </w:t>
      </w:r>
      <w:r>
        <w:rPr>
          <w:rFonts w:ascii="Arial" w:eastAsia="Times New Roman" w:hAnsi="Arial" w:cs="Arial"/>
          <w:bCs/>
          <w:spacing w:val="-3"/>
          <w:sz w:val="22"/>
          <w:szCs w:val="22"/>
        </w:rPr>
        <w:t>supply.</w:t>
      </w:r>
      <w:r w:rsidRPr="005028E5">
        <w:rPr>
          <w:rFonts w:ascii="Arial" w:eastAsia="Times New Roman" w:hAnsi="Arial" w:cs="Arial"/>
          <w:bCs/>
          <w:spacing w:val="-3"/>
          <w:sz w:val="22"/>
          <w:szCs w:val="22"/>
        </w:rPr>
        <w:t xml:space="preserve"> </w:t>
      </w:r>
    </w:p>
    <w:p w14:paraId="0CED3DE7" w14:textId="77777777" w:rsidR="00EE1BA7" w:rsidRPr="00EE1BA7" w:rsidRDefault="00207CE6" w:rsidP="004A3438">
      <w:pPr>
        <w:numPr>
          <w:ilvl w:val="0"/>
          <w:numId w:val="1"/>
        </w:numPr>
        <w:tabs>
          <w:tab w:val="clear" w:pos="720"/>
          <w:tab w:val="num" w:pos="360"/>
        </w:tabs>
        <w:spacing w:before="240"/>
        <w:ind w:left="360"/>
        <w:jc w:val="both"/>
        <w:rPr>
          <w:rFonts w:ascii="Arial" w:hAnsi="Arial" w:cs="Arial"/>
          <w:bCs/>
          <w:spacing w:val="-3"/>
          <w:sz w:val="22"/>
          <w:szCs w:val="22"/>
        </w:rPr>
      </w:pPr>
      <w:r w:rsidRPr="00EE1BA7">
        <w:rPr>
          <w:rFonts w:ascii="Arial" w:eastAsia="Times New Roman" w:hAnsi="Arial" w:cs="Arial"/>
          <w:bCs/>
          <w:spacing w:val="-3"/>
          <w:sz w:val="22"/>
          <w:szCs w:val="22"/>
        </w:rPr>
        <w:t>The QBWOS provides a framework that will help achieve a better balance between using what we already have and</w:t>
      </w:r>
      <w:r w:rsidR="005028E5" w:rsidRPr="005028E5">
        <w:rPr>
          <w:rFonts w:ascii="Arial" w:eastAsia="Times New Roman" w:hAnsi="Arial" w:cs="Arial"/>
          <w:bCs/>
          <w:spacing w:val="-3"/>
          <w:sz w:val="22"/>
          <w:szCs w:val="22"/>
        </w:rPr>
        <w:t xml:space="preserve"> committing to new projects. </w:t>
      </w:r>
      <w:r w:rsidRPr="00EE1BA7">
        <w:rPr>
          <w:rFonts w:ascii="Arial" w:eastAsia="Times New Roman" w:hAnsi="Arial" w:cs="Arial"/>
          <w:bCs/>
          <w:spacing w:val="-3"/>
          <w:sz w:val="22"/>
          <w:szCs w:val="22"/>
        </w:rPr>
        <w:t xml:space="preserve">QBWOS sets out the Queensland Government’s objectives for bulk water supply and </w:t>
      </w:r>
      <w:r w:rsidR="005028E5" w:rsidRPr="005028E5">
        <w:rPr>
          <w:rFonts w:ascii="Arial" w:eastAsia="Times New Roman" w:hAnsi="Arial" w:cs="Arial"/>
          <w:bCs/>
          <w:spacing w:val="-3"/>
          <w:sz w:val="22"/>
          <w:szCs w:val="22"/>
        </w:rPr>
        <w:t xml:space="preserve">provides </w:t>
      </w:r>
      <w:r w:rsidRPr="00EE1BA7">
        <w:rPr>
          <w:rFonts w:ascii="Arial" w:eastAsia="Times New Roman" w:hAnsi="Arial" w:cs="Arial"/>
          <w:bCs/>
          <w:spacing w:val="-3"/>
          <w:sz w:val="22"/>
          <w:szCs w:val="22"/>
        </w:rPr>
        <w:t>principles to guide State Government investment decisions. It also details initiatives to improve the functioning of water markets, unlock latent system capacity, and streamline and improve the assessment of infrastructure proposals.</w:t>
      </w:r>
    </w:p>
    <w:p w14:paraId="046C72E8" w14:textId="2DE3500F" w:rsidR="00EE1BA7" w:rsidRPr="00EE1BA7" w:rsidRDefault="00207CE6" w:rsidP="004A3438">
      <w:pPr>
        <w:numPr>
          <w:ilvl w:val="0"/>
          <w:numId w:val="1"/>
        </w:numPr>
        <w:tabs>
          <w:tab w:val="clear" w:pos="720"/>
          <w:tab w:val="num" w:pos="360"/>
        </w:tabs>
        <w:spacing w:before="240"/>
        <w:ind w:left="360"/>
        <w:jc w:val="both"/>
        <w:rPr>
          <w:rFonts w:ascii="Arial" w:eastAsia="Times New Roman" w:hAnsi="Arial" w:cs="Arial"/>
          <w:bCs/>
          <w:spacing w:val="-3"/>
          <w:sz w:val="22"/>
          <w:szCs w:val="22"/>
        </w:rPr>
      </w:pPr>
      <w:r w:rsidRPr="00EE1BA7">
        <w:rPr>
          <w:rFonts w:ascii="Arial" w:eastAsia="Times New Roman" w:hAnsi="Arial" w:cs="Arial"/>
          <w:bCs/>
          <w:spacing w:val="-3"/>
          <w:sz w:val="22"/>
          <w:szCs w:val="22"/>
        </w:rPr>
        <w:t xml:space="preserve">The QBWOS is intended to be an active document. </w:t>
      </w:r>
      <w:r>
        <w:rPr>
          <w:rFonts w:ascii="Arial" w:eastAsia="Times New Roman" w:hAnsi="Arial" w:cs="Arial"/>
          <w:bCs/>
          <w:spacing w:val="-3"/>
          <w:sz w:val="22"/>
          <w:szCs w:val="22"/>
        </w:rPr>
        <w:t xml:space="preserve">The 2018 version of </w:t>
      </w:r>
      <w:r w:rsidRPr="00EE1BA7">
        <w:rPr>
          <w:rFonts w:ascii="Arial" w:eastAsia="Times New Roman" w:hAnsi="Arial" w:cs="Arial"/>
          <w:bCs/>
          <w:spacing w:val="-3"/>
          <w:sz w:val="22"/>
          <w:szCs w:val="22"/>
        </w:rPr>
        <w:t xml:space="preserve">QBWOS extends </w:t>
      </w:r>
      <w:r>
        <w:rPr>
          <w:rFonts w:ascii="Arial" w:eastAsia="Times New Roman" w:hAnsi="Arial" w:cs="Arial"/>
          <w:bCs/>
          <w:spacing w:val="-3"/>
          <w:sz w:val="22"/>
          <w:szCs w:val="22"/>
        </w:rPr>
        <w:t>assessments</w:t>
      </w:r>
      <w:r w:rsidRPr="00EE1BA7">
        <w:rPr>
          <w:rFonts w:ascii="Arial" w:eastAsia="Times New Roman" w:hAnsi="Arial" w:cs="Arial"/>
          <w:bCs/>
          <w:spacing w:val="-3"/>
          <w:sz w:val="22"/>
          <w:szCs w:val="22"/>
        </w:rPr>
        <w:t xml:space="preserve"> undertaken in </w:t>
      </w:r>
      <w:r>
        <w:rPr>
          <w:rFonts w:ascii="Arial" w:eastAsia="Times New Roman" w:hAnsi="Arial" w:cs="Arial"/>
          <w:bCs/>
          <w:spacing w:val="-3"/>
          <w:sz w:val="22"/>
          <w:szCs w:val="22"/>
        </w:rPr>
        <w:t xml:space="preserve">the 2017 version of </w:t>
      </w:r>
      <w:r w:rsidRPr="00EE1BA7">
        <w:rPr>
          <w:rFonts w:ascii="Arial" w:eastAsia="Times New Roman" w:hAnsi="Arial" w:cs="Arial"/>
          <w:bCs/>
          <w:spacing w:val="-3"/>
          <w:sz w:val="22"/>
          <w:szCs w:val="22"/>
        </w:rPr>
        <w:t>QBWOS and provides updates on a range of activities and initiatives to enhance utilisation of water from existing infrastructure and support decision making related to proposals for new bulk water infrastructure.</w:t>
      </w:r>
    </w:p>
    <w:p w14:paraId="4F80D34C" w14:textId="77777777" w:rsidR="00EE1BA7" w:rsidRPr="00EE1BA7" w:rsidRDefault="00207CE6" w:rsidP="004A3438">
      <w:pPr>
        <w:numPr>
          <w:ilvl w:val="0"/>
          <w:numId w:val="1"/>
        </w:numPr>
        <w:tabs>
          <w:tab w:val="clear" w:pos="720"/>
          <w:tab w:val="num" w:pos="360"/>
        </w:tabs>
        <w:spacing w:before="240"/>
        <w:ind w:left="360"/>
        <w:jc w:val="both"/>
        <w:rPr>
          <w:rFonts w:ascii="Arial" w:eastAsia="Times New Roman" w:hAnsi="Arial" w:cs="Arial"/>
          <w:bCs/>
          <w:spacing w:val="-3"/>
          <w:sz w:val="22"/>
          <w:szCs w:val="22"/>
        </w:rPr>
      </w:pPr>
      <w:r w:rsidRPr="00EE1BA7">
        <w:rPr>
          <w:rFonts w:ascii="Arial" w:eastAsia="Times New Roman" w:hAnsi="Arial" w:cs="Arial"/>
          <w:bCs/>
          <w:spacing w:val="-3"/>
          <w:sz w:val="22"/>
          <w:szCs w:val="22"/>
        </w:rPr>
        <w:t>Submissions on the QBWOS will continue to be sought annually and the document updated to reflect changing water security priorities, progress with initiatives, new knowledge and community feedback.</w:t>
      </w:r>
    </w:p>
    <w:p w14:paraId="1C36DA1C" w14:textId="404EE63C" w:rsidR="00EE1BA7" w:rsidRPr="00AA7DFB" w:rsidRDefault="00207CE6" w:rsidP="004A3438">
      <w:pPr>
        <w:numPr>
          <w:ilvl w:val="0"/>
          <w:numId w:val="1"/>
        </w:numPr>
        <w:tabs>
          <w:tab w:val="clear" w:pos="720"/>
          <w:tab w:val="num" w:pos="360"/>
        </w:tabs>
        <w:spacing w:before="240"/>
        <w:ind w:left="360"/>
        <w:jc w:val="both"/>
        <w:rPr>
          <w:rFonts w:ascii="Arial" w:eastAsia="Times New Roman" w:hAnsi="Arial" w:cs="Arial"/>
          <w:bCs/>
          <w:spacing w:val="-3"/>
          <w:sz w:val="22"/>
          <w:szCs w:val="22"/>
        </w:rPr>
      </w:pPr>
      <w:r w:rsidRPr="00AA7DFB">
        <w:rPr>
          <w:rFonts w:ascii="Arial" w:eastAsia="Times New Roman" w:hAnsi="Arial" w:cs="Arial"/>
          <w:bCs/>
          <w:spacing w:val="-3"/>
          <w:sz w:val="22"/>
          <w:szCs w:val="22"/>
          <w:u w:val="single"/>
        </w:rPr>
        <w:t>Cabinet approved</w:t>
      </w:r>
      <w:r w:rsidRPr="00AA7DFB">
        <w:rPr>
          <w:rFonts w:ascii="Arial" w:eastAsia="Times New Roman" w:hAnsi="Arial" w:cs="Arial"/>
          <w:bCs/>
          <w:spacing w:val="-3"/>
          <w:sz w:val="22"/>
          <w:szCs w:val="22"/>
        </w:rPr>
        <w:t xml:space="preserve"> the release of the </w:t>
      </w:r>
      <w:r w:rsidRPr="00EE1BA7">
        <w:rPr>
          <w:rFonts w:ascii="Arial" w:eastAsia="Times New Roman" w:hAnsi="Arial" w:cs="Arial"/>
          <w:sz w:val="22"/>
          <w:szCs w:val="22"/>
        </w:rPr>
        <w:t>Queensland Bulk Water Opportunities Statement</w:t>
      </w:r>
      <w:r w:rsidRPr="00AA7DFB">
        <w:rPr>
          <w:rFonts w:ascii="Arial" w:eastAsia="Times New Roman" w:hAnsi="Arial" w:cs="Arial"/>
          <w:bCs/>
          <w:spacing w:val="-3"/>
          <w:sz w:val="22"/>
          <w:szCs w:val="22"/>
        </w:rPr>
        <w:t xml:space="preserve"> (2018).</w:t>
      </w:r>
    </w:p>
    <w:p w14:paraId="7F5A334B" w14:textId="77777777" w:rsidR="00EE1BA7" w:rsidRPr="00AA7DFB" w:rsidRDefault="00207CE6" w:rsidP="00125A82">
      <w:pPr>
        <w:numPr>
          <w:ilvl w:val="0"/>
          <w:numId w:val="1"/>
        </w:numPr>
        <w:tabs>
          <w:tab w:val="clear" w:pos="720"/>
          <w:tab w:val="num" w:pos="360"/>
        </w:tabs>
        <w:spacing w:before="360"/>
        <w:ind w:left="360"/>
        <w:jc w:val="both"/>
        <w:rPr>
          <w:rFonts w:ascii="Arial" w:eastAsia="Times New Roman" w:hAnsi="Arial" w:cs="Arial"/>
          <w:bCs/>
          <w:i/>
          <w:spacing w:val="-3"/>
          <w:sz w:val="22"/>
          <w:szCs w:val="22"/>
          <w:u w:val="single"/>
        </w:rPr>
      </w:pPr>
      <w:r w:rsidRPr="00AA7DFB">
        <w:rPr>
          <w:rFonts w:ascii="Arial" w:eastAsia="Times New Roman" w:hAnsi="Arial" w:cs="Arial"/>
          <w:bCs/>
          <w:i/>
          <w:spacing w:val="-3"/>
          <w:sz w:val="22"/>
          <w:szCs w:val="22"/>
          <w:u w:val="single"/>
        </w:rPr>
        <w:t>Attachments</w:t>
      </w:r>
    </w:p>
    <w:p w14:paraId="2D5F4DF1" w14:textId="6DDE9C91" w:rsidR="00EE1BA7" w:rsidRPr="004A3438" w:rsidRDefault="001F5529" w:rsidP="00125A82">
      <w:pPr>
        <w:numPr>
          <w:ilvl w:val="0"/>
          <w:numId w:val="4"/>
        </w:numPr>
        <w:spacing w:before="120"/>
        <w:jc w:val="both"/>
        <w:rPr>
          <w:rFonts w:ascii="Arial" w:eastAsia="Times New Roman" w:hAnsi="Arial" w:cs="Arial"/>
          <w:color w:val="auto"/>
          <w:sz w:val="22"/>
          <w:szCs w:val="22"/>
        </w:rPr>
      </w:pPr>
      <w:hyperlink r:id="rId7" w:history="1">
        <w:r w:rsidR="00207CE6" w:rsidRPr="0089555F">
          <w:rPr>
            <w:rStyle w:val="Hyperlink"/>
            <w:rFonts w:ascii="Arial" w:eastAsia="Times New Roman" w:hAnsi="Arial" w:cs="Arial"/>
            <w:sz w:val="22"/>
            <w:szCs w:val="22"/>
          </w:rPr>
          <w:t>Queensland Bulk Water Opportunities Statement (2018)</w:t>
        </w:r>
      </w:hyperlink>
    </w:p>
    <w:sectPr w:rsidR="00EE1BA7" w:rsidRPr="004A3438" w:rsidSect="00F725FA">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8775A" w14:textId="77777777" w:rsidR="004223F2" w:rsidRDefault="004223F2">
      <w:r>
        <w:separator/>
      </w:r>
    </w:p>
  </w:endnote>
  <w:endnote w:type="continuationSeparator" w:id="0">
    <w:p w14:paraId="135D743A" w14:textId="77777777" w:rsidR="004223F2" w:rsidRDefault="0042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806AA" w14:textId="77777777" w:rsidR="004223F2" w:rsidRDefault="004223F2">
      <w:r>
        <w:separator/>
      </w:r>
    </w:p>
  </w:footnote>
  <w:footnote w:type="continuationSeparator" w:id="0">
    <w:p w14:paraId="2D1354C1" w14:textId="77777777" w:rsidR="004223F2" w:rsidRDefault="0042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D4E0" w14:textId="77777777" w:rsidR="00950178" w:rsidRPr="00D75134" w:rsidRDefault="00207CE6"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19764AE0" w14:textId="77777777"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6A234160" w14:textId="77777777" w:rsidR="00950178" w:rsidRPr="001E209B" w:rsidRDefault="00207CE6"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December</w:t>
    </w:r>
    <w:r w:rsidR="00E75006">
      <w:rPr>
        <w:rFonts w:ascii="Arial" w:hAnsi="Arial" w:cs="Arial"/>
        <w:b/>
        <w:sz w:val="22"/>
        <w:szCs w:val="22"/>
      </w:rPr>
      <w:t xml:space="preserve"> 2018</w:t>
    </w:r>
  </w:p>
  <w:p w14:paraId="658FDD15" w14:textId="77777777" w:rsidR="00607190" w:rsidRDefault="00207CE6" w:rsidP="00D6589B">
    <w:pPr>
      <w:pStyle w:val="Header"/>
      <w:spacing w:before="120"/>
      <w:rPr>
        <w:rFonts w:ascii="Arial" w:hAnsi="Arial" w:cs="Arial"/>
        <w:b/>
        <w:sz w:val="22"/>
        <w:szCs w:val="22"/>
        <w:u w:val="single"/>
      </w:rPr>
    </w:pPr>
    <w:r>
      <w:rPr>
        <w:rFonts w:ascii="Arial" w:hAnsi="Arial" w:cs="Arial"/>
        <w:b/>
        <w:sz w:val="22"/>
        <w:szCs w:val="22"/>
        <w:u w:val="single"/>
      </w:rPr>
      <w:t xml:space="preserve">2018 </w:t>
    </w:r>
    <w:r w:rsidRPr="00607190">
      <w:rPr>
        <w:rFonts w:ascii="Arial" w:hAnsi="Arial" w:cs="Arial"/>
        <w:b/>
        <w:sz w:val="22"/>
        <w:szCs w:val="22"/>
        <w:u w:val="single"/>
      </w:rPr>
      <w:t>Queensland Bulk Water Opportunities Statement</w:t>
    </w:r>
  </w:p>
  <w:p w14:paraId="5B216D55" w14:textId="77777777" w:rsidR="00950178" w:rsidRDefault="00207CE6" w:rsidP="00D6589B">
    <w:pPr>
      <w:pStyle w:val="Header"/>
      <w:spacing w:before="120"/>
      <w:rPr>
        <w:rFonts w:ascii="Arial" w:hAnsi="Arial" w:cs="Arial"/>
        <w:b/>
        <w:sz w:val="22"/>
        <w:szCs w:val="22"/>
        <w:u w:val="single"/>
      </w:rPr>
    </w:pPr>
    <w:r>
      <w:rPr>
        <w:rFonts w:ascii="Arial" w:hAnsi="Arial" w:cs="Arial"/>
        <w:b/>
        <w:sz w:val="22"/>
        <w:szCs w:val="22"/>
        <w:u w:val="single"/>
      </w:rPr>
      <w:t>Minister</w:t>
    </w:r>
    <w:r w:rsidR="00791A9C">
      <w:rPr>
        <w:rFonts w:ascii="Arial" w:hAnsi="Arial" w:cs="Arial"/>
        <w:b/>
        <w:sz w:val="22"/>
        <w:szCs w:val="22"/>
        <w:u w:val="single"/>
      </w:rPr>
      <w:t xml:space="preserve"> for Natural Resources</w:t>
    </w:r>
    <w:r w:rsidR="00E75006">
      <w:rPr>
        <w:rFonts w:ascii="Arial" w:hAnsi="Arial" w:cs="Arial"/>
        <w:b/>
        <w:sz w:val="22"/>
        <w:szCs w:val="22"/>
        <w:u w:val="single"/>
      </w:rPr>
      <w:t>,</w:t>
    </w:r>
    <w:r w:rsidR="00791A9C">
      <w:rPr>
        <w:rFonts w:ascii="Arial" w:hAnsi="Arial" w:cs="Arial"/>
        <w:b/>
        <w:sz w:val="22"/>
        <w:szCs w:val="22"/>
        <w:u w:val="single"/>
      </w:rPr>
      <w:t xml:space="preserve"> Mines</w:t>
    </w:r>
    <w:r w:rsidR="00E75006">
      <w:rPr>
        <w:rFonts w:ascii="Arial" w:hAnsi="Arial" w:cs="Arial"/>
        <w:b/>
        <w:sz w:val="22"/>
        <w:szCs w:val="22"/>
        <w:u w:val="single"/>
      </w:rPr>
      <w:t xml:space="preserve"> and Energy</w:t>
    </w:r>
  </w:p>
  <w:p w14:paraId="2C6C35A4" w14:textId="77777777"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40820"/>
    <w:multiLevelType w:val="hybridMultilevel"/>
    <w:tmpl w:val="B65804D6"/>
    <w:lvl w:ilvl="0" w:tplc="9A24D350">
      <w:start w:val="1"/>
      <w:numFmt w:val="bullet"/>
      <w:lvlText w:val=""/>
      <w:lvlJc w:val="left"/>
      <w:pPr>
        <w:ind w:left="720" w:hanging="360"/>
      </w:pPr>
      <w:rPr>
        <w:rFonts w:ascii="Symbol" w:hAnsi="Symbol" w:hint="default"/>
      </w:rPr>
    </w:lvl>
    <w:lvl w:ilvl="1" w:tplc="2B4A3FA6">
      <w:start w:val="1"/>
      <w:numFmt w:val="bullet"/>
      <w:lvlText w:val="o"/>
      <w:lvlJc w:val="left"/>
      <w:pPr>
        <w:ind w:left="1440" w:hanging="360"/>
      </w:pPr>
      <w:rPr>
        <w:rFonts w:ascii="Courier New" w:hAnsi="Courier New" w:cs="Courier New" w:hint="default"/>
      </w:rPr>
    </w:lvl>
    <w:lvl w:ilvl="2" w:tplc="15D28BFA">
      <w:start w:val="1"/>
      <w:numFmt w:val="bullet"/>
      <w:lvlText w:val=""/>
      <w:lvlJc w:val="left"/>
      <w:pPr>
        <w:ind w:left="2160" w:hanging="360"/>
      </w:pPr>
      <w:rPr>
        <w:rFonts w:ascii="Wingdings" w:hAnsi="Wingdings" w:hint="default"/>
      </w:rPr>
    </w:lvl>
    <w:lvl w:ilvl="3" w:tplc="73423A68">
      <w:start w:val="1"/>
      <w:numFmt w:val="bullet"/>
      <w:lvlText w:val=""/>
      <w:lvlJc w:val="left"/>
      <w:pPr>
        <w:ind w:left="2880" w:hanging="360"/>
      </w:pPr>
      <w:rPr>
        <w:rFonts w:ascii="Symbol" w:hAnsi="Symbol" w:hint="default"/>
      </w:rPr>
    </w:lvl>
    <w:lvl w:ilvl="4" w:tplc="FDB8411C">
      <w:start w:val="1"/>
      <w:numFmt w:val="bullet"/>
      <w:lvlText w:val="o"/>
      <w:lvlJc w:val="left"/>
      <w:pPr>
        <w:ind w:left="3600" w:hanging="360"/>
      </w:pPr>
      <w:rPr>
        <w:rFonts w:ascii="Courier New" w:hAnsi="Courier New" w:cs="Courier New" w:hint="default"/>
      </w:rPr>
    </w:lvl>
    <w:lvl w:ilvl="5" w:tplc="32426970">
      <w:start w:val="1"/>
      <w:numFmt w:val="bullet"/>
      <w:lvlText w:val=""/>
      <w:lvlJc w:val="left"/>
      <w:pPr>
        <w:ind w:left="4320" w:hanging="360"/>
      </w:pPr>
      <w:rPr>
        <w:rFonts w:ascii="Wingdings" w:hAnsi="Wingdings" w:hint="default"/>
      </w:rPr>
    </w:lvl>
    <w:lvl w:ilvl="6" w:tplc="5CAA4220">
      <w:start w:val="1"/>
      <w:numFmt w:val="bullet"/>
      <w:lvlText w:val=""/>
      <w:lvlJc w:val="left"/>
      <w:pPr>
        <w:ind w:left="5040" w:hanging="360"/>
      </w:pPr>
      <w:rPr>
        <w:rFonts w:ascii="Symbol" w:hAnsi="Symbol" w:hint="default"/>
      </w:rPr>
    </w:lvl>
    <w:lvl w:ilvl="7" w:tplc="228EF962">
      <w:start w:val="1"/>
      <w:numFmt w:val="bullet"/>
      <w:lvlText w:val="o"/>
      <w:lvlJc w:val="left"/>
      <w:pPr>
        <w:ind w:left="5760" w:hanging="360"/>
      </w:pPr>
      <w:rPr>
        <w:rFonts w:ascii="Courier New" w:hAnsi="Courier New" w:cs="Courier New" w:hint="default"/>
      </w:rPr>
    </w:lvl>
    <w:lvl w:ilvl="8" w:tplc="C6B81DC2">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38A4538">
      <w:start w:val="1"/>
      <w:numFmt w:val="bullet"/>
      <w:lvlText w:val=""/>
      <w:lvlJc w:val="left"/>
      <w:pPr>
        <w:tabs>
          <w:tab w:val="num" w:pos="814"/>
        </w:tabs>
        <w:ind w:left="814" w:hanging="454"/>
      </w:pPr>
      <w:rPr>
        <w:rFonts w:ascii="Symbol" w:hAnsi="Symbol" w:hint="default"/>
        <w:color w:val="auto"/>
        <w:sz w:val="23"/>
      </w:rPr>
    </w:lvl>
    <w:lvl w:ilvl="1" w:tplc="D07CCF68" w:tentative="1">
      <w:start w:val="1"/>
      <w:numFmt w:val="lowerLetter"/>
      <w:lvlText w:val="%2."/>
      <w:lvlJc w:val="left"/>
      <w:pPr>
        <w:tabs>
          <w:tab w:val="num" w:pos="1440"/>
        </w:tabs>
        <w:ind w:left="1440" w:hanging="360"/>
      </w:pPr>
      <w:rPr>
        <w:rFonts w:cs="Times New Roman"/>
      </w:rPr>
    </w:lvl>
    <w:lvl w:ilvl="2" w:tplc="6C7C5C60" w:tentative="1">
      <w:start w:val="1"/>
      <w:numFmt w:val="lowerRoman"/>
      <w:lvlText w:val="%3."/>
      <w:lvlJc w:val="right"/>
      <w:pPr>
        <w:tabs>
          <w:tab w:val="num" w:pos="2160"/>
        </w:tabs>
        <w:ind w:left="2160" w:hanging="180"/>
      </w:pPr>
      <w:rPr>
        <w:rFonts w:cs="Times New Roman"/>
      </w:rPr>
    </w:lvl>
    <w:lvl w:ilvl="3" w:tplc="44D4D8D0" w:tentative="1">
      <w:start w:val="1"/>
      <w:numFmt w:val="decimal"/>
      <w:lvlText w:val="%4."/>
      <w:lvlJc w:val="left"/>
      <w:pPr>
        <w:tabs>
          <w:tab w:val="num" w:pos="2880"/>
        </w:tabs>
        <w:ind w:left="2880" w:hanging="360"/>
      </w:pPr>
      <w:rPr>
        <w:rFonts w:cs="Times New Roman"/>
      </w:rPr>
    </w:lvl>
    <w:lvl w:ilvl="4" w:tplc="25A0B5B6" w:tentative="1">
      <w:start w:val="1"/>
      <w:numFmt w:val="lowerLetter"/>
      <w:lvlText w:val="%5."/>
      <w:lvlJc w:val="left"/>
      <w:pPr>
        <w:tabs>
          <w:tab w:val="num" w:pos="3600"/>
        </w:tabs>
        <w:ind w:left="3600" w:hanging="360"/>
      </w:pPr>
      <w:rPr>
        <w:rFonts w:cs="Times New Roman"/>
      </w:rPr>
    </w:lvl>
    <w:lvl w:ilvl="5" w:tplc="8430A4EC" w:tentative="1">
      <w:start w:val="1"/>
      <w:numFmt w:val="lowerRoman"/>
      <w:lvlText w:val="%6."/>
      <w:lvlJc w:val="right"/>
      <w:pPr>
        <w:tabs>
          <w:tab w:val="num" w:pos="4320"/>
        </w:tabs>
        <w:ind w:left="4320" w:hanging="180"/>
      </w:pPr>
      <w:rPr>
        <w:rFonts w:cs="Times New Roman"/>
      </w:rPr>
    </w:lvl>
    <w:lvl w:ilvl="6" w:tplc="7FB81AE2" w:tentative="1">
      <w:start w:val="1"/>
      <w:numFmt w:val="decimal"/>
      <w:lvlText w:val="%7."/>
      <w:lvlJc w:val="left"/>
      <w:pPr>
        <w:tabs>
          <w:tab w:val="num" w:pos="5040"/>
        </w:tabs>
        <w:ind w:left="5040" w:hanging="360"/>
      </w:pPr>
      <w:rPr>
        <w:rFonts w:cs="Times New Roman"/>
      </w:rPr>
    </w:lvl>
    <w:lvl w:ilvl="7" w:tplc="BCB6437A" w:tentative="1">
      <w:start w:val="1"/>
      <w:numFmt w:val="lowerLetter"/>
      <w:lvlText w:val="%8."/>
      <w:lvlJc w:val="left"/>
      <w:pPr>
        <w:tabs>
          <w:tab w:val="num" w:pos="5760"/>
        </w:tabs>
        <w:ind w:left="5760" w:hanging="360"/>
      </w:pPr>
      <w:rPr>
        <w:rFonts w:cs="Times New Roman"/>
      </w:rPr>
    </w:lvl>
    <w:lvl w:ilvl="8" w:tplc="3128166E"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5FAA5E9C"/>
    <w:lvl w:ilvl="0" w:tplc="F4449DC4">
      <w:start w:val="1"/>
      <w:numFmt w:val="decimal"/>
      <w:lvlText w:val="%1."/>
      <w:lvlJc w:val="left"/>
      <w:pPr>
        <w:tabs>
          <w:tab w:val="num" w:pos="720"/>
        </w:tabs>
        <w:ind w:left="720" w:hanging="360"/>
      </w:pPr>
      <w:rPr>
        <w:rFonts w:cs="Times New Roman"/>
        <w:i w:val="0"/>
      </w:rPr>
    </w:lvl>
    <w:lvl w:ilvl="1" w:tplc="C5ACD80C">
      <w:start w:val="1"/>
      <w:numFmt w:val="decimal"/>
      <w:lvlText w:val="%2."/>
      <w:lvlJc w:val="left"/>
      <w:pPr>
        <w:tabs>
          <w:tab w:val="num" w:pos="1443"/>
        </w:tabs>
        <w:ind w:left="1443" w:hanging="363"/>
      </w:pPr>
      <w:rPr>
        <w:rFonts w:cs="Times New Roman" w:hint="default"/>
      </w:rPr>
    </w:lvl>
    <w:lvl w:ilvl="2" w:tplc="BDD291C8" w:tentative="1">
      <w:start w:val="1"/>
      <w:numFmt w:val="lowerRoman"/>
      <w:lvlText w:val="%3."/>
      <w:lvlJc w:val="right"/>
      <w:pPr>
        <w:tabs>
          <w:tab w:val="num" w:pos="2160"/>
        </w:tabs>
        <w:ind w:left="2160" w:hanging="180"/>
      </w:pPr>
      <w:rPr>
        <w:rFonts w:cs="Times New Roman"/>
      </w:rPr>
    </w:lvl>
    <w:lvl w:ilvl="3" w:tplc="29DAEDF6" w:tentative="1">
      <w:start w:val="1"/>
      <w:numFmt w:val="decimal"/>
      <w:lvlText w:val="%4."/>
      <w:lvlJc w:val="left"/>
      <w:pPr>
        <w:tabs>
          <w:tab w:val="num" w:pos="2880"/>
        </w:tabs>
        <w:ind w:left="2880" w:hanging="360"/>
      </w:pPr>
      <w:rPr>
        <w:rFonts w:cs="Times New Roman"/>
      </w:rPr>
    </w:lvl>
    <w:lvl w:ilvl="4" w:tplc="7CBCDC04" w:tentative="1">
      <w:start w:val="1"/>
      <w:numFmt w:val="lowerLetter"/>
      <w:lvlText w:val="%5."/>
      <w:lvlJc w:val="left"/>
      <w:pPr>
        <w:tabs>
          <w:tab w:val="num" w:pos="3600"/>
        </w:tabs>
        <w:ind w:left="3600" w:hanging="360"/>
      </w:pPr>
      <w:rPr>
        <w:rFonts w:cs="Times New Roman"/>
      </w:rPr>
    </w:lvl>
    <w:lvl w:ilvl="5" w:tplc="26B2EB3E" w:tentative="1">
      <w:start w:val="1"/>
      <w:numFmt w:val="lowerRoman"/>
      <w:lvlText w:val="%6."/>
      <w:lvlJc w:val="right"/>
      <w:pPr>
        <w:tabs>
          <w:tab w:val="num" w:pos="4320"/>
        </w:tabs>
        <w:ind w:left="4320" w:hanging="180"/>
      </w:pPr>
      <w:rPr>
        <w:rFonts w:cs="Times New Roman"/>
      </w:rPr>
    </w:lvl>
    <w:lvl w:ilvl="6" w:tplc="5C246610" w:tentative="1">
      <w:start w:val="1"/>
      <w:numFmt w:val="decimal"/>
      <w:lvlText w:val="%7."/>
      <w:lvlJc w:val="left"/>
      <w:pPr>
        <w:tabs>
          <w:tab w:val="num" w:pos="5040"/>
        </w:tabs>
        <w:ind w:left="5040" w:hanging="360"/>
      </w:pPr>
      <w:rPr>
        <w:rFonts w:cs="Times New Roman"/>
      </w:rPr>
    </w:lvl>
    <w:lvl w:ilvl="7" w:tplc="DEE46398" w:tentative="1">
      <w:start w:val="1"/>
      <w:numFmt w:val="lowerLetter"/>
      <w:lvlText w:val="%8."/>
      <w:lvlJc w:val="left"/>
      <w:pPr>
        <w:tabs>
          <w:tab w:val="num" w:pos="5760"/>
        </w:tabs>
        <w:ind w:left="5760" w:hanging="360"/>
      </w:pPr>
      <w:rPr>
        <w:rFonts w:cs="Times New Roman"/>
      </w:rPr>
    </w:lvl>
    <w:lvl w:ilvl="8" w:tplc="4EC44EE2"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5B"/>
    <w:rsid w:val="00007398"/>
    <w:rsid w:val="000430DD"/>
    <w:rsid w:val="00080F8F"/>
    <w:rsid w:val="00125A82"/>
    <w:rsid w:val="00140936"/>
    <w:rsid w:val="001B06AC"/>
    <w:rsid w:val="001E209B"/>
    <w:rsid w:val="001F5529"/>
    <w:rsid w:val="00207CE6"/>
    <w:rsid w:val="0021344B"/>
    <w:rsid w:val="00252027"/>
    <w:rsid w:val="00280DCA"/>
    <w:rsid w:val="00331B2C"/>
    <w:rsid w:val="0034156D"/>
    <w:rsid w:val="003B5871"/>
    <w:rsid w:val="004223F2"/>
    <w:rsid w:val="004858BB"/>
    <w:rsid w:val="004A3438"/>
    <w:rsid w:val="004E3AE1"/>
    <w:rsid w:val="00501C66"/>
    <w:rsid w:val="005028E5"/>
    <w:rsid w:val="00506D9D"/>
    <w:rsid w:val="00607190"/>
    <w:rsid w:val="00637AB2"/>
    <w:rsid w:val="00732E22"/>
    <w:rsid w:val="00740EF5"/>
    <w:rsid w:val="00791A9C"/>
    <w:rsid w:val="007E7C8C"/>
    <w:rsid w:val="00851962"/>
    <w:rsid w:val="0089555F"/>
    <w:rsid w:val="008A4523"/>
    <w:rsid w:val="008F44CD"/>
    <w:rsid w:val="00937A4A"/>
    <w:rsid w:val="00950178"/>
    <w:rsid w:val="00A527A5"/>
    <w:rsid w:val="00AA7DFB"/>
    <w:rsid w:val="00AE625B"/>
    <w:rsid w:val="00B45D60"/>
    <w:rsid w:val="00BC6952"/>
    <w:rsid w:val="00C07656"/>
    <w:rsid w:val="00C637CD"/>
    <w:rsid w:val="00CA4760"/>
    <w:rsid w:val="00CE6FBA"/>
    <w:rsid w:val="00CF0D8A"/>
    <w:rsid w:val="00D6589B"/>
    <w:rsid w:val="00D75134"/>
    <w:rsid w:val="00DB6FE7"/>
    <w:rsid w:val="00DC40B1"/>
    <w:rsid w:val="00DE61EC"/>
    <w:rsid w:val="00E75006"/>
    <w:rsid w:val="00EE1BA7"/>
    <w:rsid w:val="00F10DF9"/>
    <w:rsid w:val="00F725FA"/>
    <w:rsid w:val="00FB0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2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Hyperlink">
    <w:name w:val="Hyperlink"/>
    <w:basedOn w:val="DefaultParagraphFont"/>
    <w:unhideWhenUsed/>
    <w:rsid w:val="00DC40B1"/>
    <w:rPr>
      <w:color w:val="0000FF" w:themeColor="hyperlink"/>
      <w:u w:val="single"/>
    </w:rPr>
  </w:style>
  <w:style w:type="character" w:styleId="FollowedHyperlink">
    <w:name w:val="FollowedHyperlink"/>
    <w:basedOn w:val="DefaultParagraphFont"/>
    <w:semiHidden/>
    <w:unhideWhenUsed/>
    <w:rsid w:val="00CA4760"/>
    <w:rPr>
      <w:color w:val="800080" w:themeColor="followedHyperlink"/>
      <w:u w:val="single"/>
    </w:rPr>
  </w:style>
  <w:style w:type="character" w:styleId="UnresolvedMention">
    <w:name w:val="Unresolved Mention"/>
    <w:basedOn w:val="DefaultParagraphFont"/>
    <w:uiPriority w:val="99"/>
    <w:semiHidden/>
    <w:unhideWhenUsed/>
    <w:rsid w:val="0089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Sta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Cabinet%20submissions\Cabinet%20submissions%20-%20TEMPLATES\Toolkits%20for%20MECS\Policy%20submission\Attachment%20xx_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Attachment xx_Proactive Release Summary.dotx</Template>
  <TotalTime>39</TotalTime>
  <Pages>1</Pages>
  <Words>197</Words>
  <Characters>1152</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Manager/>
  <Company/>
  <LinksUpToDate>false</LinksUpToDate>
  <CharactersWithSpaces>1344</CharactersWithSpaces>
  <SharedDoc>false</SharedDoc>
  <HyperlinkBase>https://www.cabinet.qld.gov.au/documents/2018/Dec/BulkWater/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creator/>
  <cp:lastModifiedBy/>
  <cp:revision>8</cp:revision>
  <dcterms:created xsi:type="dcterms:W3CDTF">2019-01-15T01:29:00Z</dcterms:created>
  <dcterms:modified xsi:type="dcterms:W3CDTF">2019-12-11T09:10:00Z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